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79" w:rsidRDefault="001B396E">
      <w:pPr>
        <w:pStyle w:val="HTML"/>
        <w:spacing w:line="276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</w:t>
      </w:r>
      <w:r>
        <w:rPr>
          <w:rFonts w:ascii="黑体" w:eastAsia="黑体" w:hint="eastAsia"/>
          <w:sz w:val="36"/>
        </w:rPr>
        <w:t>3</w:t>
      </w:r>
      <w:r>
        <w:rPr>
          <w:rFonts w:ascii="黑体" w:eastAsia="黑体" w:hint="eastAsia"/>
          <w:sz w:val="36"/>
        </w:rPr>
        <w:t>硕士研究生复试专业课程考试大纲</w:t>
      </w:r>
    </w:p>
    <w:p w:rsidR="003E0B79" w:rsidRDefault="001B396E">
      <w:pPr>
        <w:pStyle w:val="HTML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黑体" w:eastAsia="黑体" w:hAnsi="黑体" w:cs="Times New Roman" w:hint="eastAsia"/>
          <w:bCs/>
          <w:sz w:val="28"/>
        </w:rPr>
        <w:t>（</w:t>
      </w:r>
      <w:r>
        <w:rPr>
          <w:rFonts w:ascii="黑体" w:eastAsia="黑体" w:hAnsi="黑体" w:cs="Times New Roman"/>
          <w:bCs/>
          <w:sz w:val="28"/>
        </w:rPr>
        <w:t>土木工程建造与管理</w:t>
      </w:r>
      <w:r>
        <w:rPr>
          <w:rFonts w:ascii="黑体" w:eastAsia="黑体" w:hAnsi="黑体" w:cs="Times New Roman" w:hint="eastAsia"/>
          <w:bCs/>
          <w:sz w:val="28"/>
        </w:rPr>
        <w:t>方向）</w:t>
      </w:r>
    </w:p>
    <w:p w:rsidR="003E0B79" w:rsidRDefault="001B396E">
      <w:pPr>
        <w:pStyle w:val="HTML"/>
        <w:spacing w:line="276" w:lineRule="auto"/>
        <w:rPr>
          <w:rFonts w:ascii="黑体" w:eastAsia="黑体" w:hAnsi="黑体" w:cs="Times New Roman"/>
          <w:b/>
          <w:sz w:val="28"/>
        </w:rPr>
      </w:pPr>
      <w:r>
        <w:rPr>
          <w:rFonts w:ascii="黑体" w:eastAsia="黑体" w:hAnsi="黑体" w:cs="Times New Roman" w:hint="eastAsia"/>
          <w:b/>
          <w:sz w:val="28"/>
        </w:rPr>
        <w:t>科目代码：</w:t>
      </w:r>
      <w:r>
        <w:rPr>
          <w:rFonts w:ascii="黑体" w:eastAsia="黑体" w:hAnsi="黑体" w:cs="Times New Roman" w:hint="eastAsia"/>
          <w:b/>
          <w:sz w:val="28"/>
        </w:rPr>
        <w:t>009</w:t>
      </w:r>
      <w:r>
        <w:rPr>
          <w:rFonts w:ascii="黑体" w:eastAsia="黑体" w:hAnsi="黑体" w:cs="Times New Roman" w:hint="eastAsia"/>
          <w:b/>
          <w:sz w:val="28"/>
        </w:rPr>
        <w:t>09</w:t>
      </w:r>
    </w:p>
    <w:p w:rsidR="003E0B79" w:rsidRDefault="001B396E">
      <w:pPr>
        <w:pStyle w:val="HTML"/>
        <w:spacing w:line="276" w:lineRule="auto"/>
        <w:rPr>
          <w:rFonts w:ascii="黑体" w:eastAsia="黑体" w:hAnsi="黑体" w:cs="Times New Roman"/>
          <w:b/>
          <w:sz w:val="28"/>
        </w:rPr>
      </w:pPr>
      <w:r>
        <w:rPr>
          <w:rFonts w:ascii="黑体" w:eastAsia="黑体" w:hAnsi="黑体" w:cs="Times New Roman" w:hint="eastAsia"/>
          <w:b/>
          <w:sz w:val="28"/>
        </w:rPr>
        <w:t>科目名称：</w:t>
      </w:r>
      <w:r>
        <w:rPr>
          <w:rFonts w:ascii="黑体" w:eastAsia="黑体" w:hAnsi="黑体" w:cs="Times New Roman"/>
          <w:b/>
          <w:sz w:val="28"/>
        </w:rPr>
        <w:t>建设项目管理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100</w:t>
      </w:r>
      <w:r>
        <w:rPr>
          <w:b/>
          <w:bCs/>
          <w:sz w:val="28"/>
          <w:szCs w:val="28"/>
        </w:rPr>
        <w:t>分）</w:t>
      </w:r>
    </w:p>
    <w:p w:rsidR="003E0B79" w:rsidRDefault="001B396E"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</w:t>
      </w:r>
      <w:r>
        <w:rPr>
          <w:b/>
          <w:bCs/>
          <w:sz w:val="24"/>
        </w:rPr>
        <w:t>、考试</w:t>
      </w:r>
      <w:r>
        <w:rPr>
          <w:rFonts w:hint="eastAsia"/>
          <w:b/>
          <w:bCs/>
          <w:sz w:val="24"/>
        </w:rPr>
        <w:t>大纲</w:t>
      </w:r>
      <w:r>
        <w:rPr>
          <w:b/>
          <w:bCs/>
          <w:sz w:val="24"/>
        </w:rPr>
        <w:t>：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>
        <w:rPr>
          <w:rFonts w:ascii="Times New Roman" w:hAnsi="Times New Roman" w:cs="Times New Roman" w:hint="eastAsia"/>
        </w:rPr>
        <w:t>项目、建设项目、建设项目管理的基本概念，建设项目的系统分析，建设项目管理的发展；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>
        <w:rPr>
          <w:rFonts w:ascii="Times New Roman" w:hAnsi="Times New Roman" w:cs="Times New Roman" w:hint="eastAsia"/>
        </w:rPr>
        <w:t>建设项目可行性研究的概念、作用、方法和阶段；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>
        <w:rPr>
          <w:rFonts w:ascii="Times New Roman" w:hAnsi="Times New Roman" w:cs="Times New Roman" w:hint="eastAsia"/>
        </w:rPr>
        <w:t>建设项目组织形式的确立，项目组织结构形式，建设项目的承发包模式；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4. </w:t>
      </w:r>
      <w:r>
        <w:rPr>
          <w:rFonts w:ascii="Times New Roman" w:hAnsi="Times New Roman" w:cs="Times New Roman" w:hint="eastAsia"/>
        </w:rPr>
        <w:t>建设项目招标投标的概念、有关的法律规定、招标方式，施工招标的有关概念，建设项目合同管理的概念、工程合同的履行和控制；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5. </w:t>
      </w:r>
      <w:r>
        <w:rPr>
          <w:rFonts w:ascii="Times New Roman" w:hAnsi="Times New Roman" w:cs="Times New Roman" w:hint="eastAsia"/>
        </w:rPr>
        <w:t>建设项目施工阶段管理的特点、目标、任务、依据、主要工作内容，建设项目施工阶段进度控制、投资控制和质量控制的概念、原理、措施、内容、方法；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 </w:t>
      </w:r>
      <w:r>
        <w:rPr>
          <w:rFonts w:ascii="Times New Roman" w:hAnsi="Times New Roman" w:cs="Times New Roman" w:hint="eastAsia"/>
        </w:rPr>
        <w:t>建设项目风险的分类，建设项目风险管理的概念、内容，风险分析，风险对策与管理；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7. </w:t>
      </w:r>
      <w:r>
        <w:rPr>
          <w:rFonts w:ascii="Times New Roman" w:hAnsi="Times New Roman" w:cs="Times New Roman" w:hint="eastAsia"/>
        </w:rPr>
        <w:t>建设项目竣工验收的基本概念、竣工验收的内容及程序，建设项目竣工结算与决算，建设项目后评价。</w:t>
      </w:r>
    </w:p>
    <w:p w:rsidR="003E0B79" w:rsidRDefault="003E0B79">
      <w:pPr>
        <w:spacing w:line="276" w:lineRule="auto"/>
        <w:rPr>
          <w:b/>
          <w:bCs/>
          <w:sz w:val="24"/>
        </w:rPr>
      </w:pPr>
    </w:p>
    <w:p w:rsidR="003E0B79" w:rsidRDefault="001B396E"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>
        <w:rPr>
          <w:b/>
          <w:bCs/>
          <w:sz w:val="24"/>
        </w:rPr>
        <w:t>、参考书目</w:t>
      </w:r>
    </w:p>
    <w:p w:rsidR="003E0B79" w:rsidRDefault="001B396E">
      <w:pPr>
        <w:spacing w:line="276" w:lineRule="auto"/>
        <w:ind w:firstLineChars="250" w:firstLine="600"/>
        <w:rPr>
          <w:sz w:val="24"/>
        </w:rPr>
      </w:pPr>
      <w:r>
        <w:rPr>
          <w:sz w:val="24"/>
        </w:rPr>
        <w:t>《建设项目管理》（第三版）</w:t>
      </w:r>
      <w:r>
        <w:rPr>
          <w:rFonts w:hint="eastAsia"/>
          <w:sz w:val="24"/>
        </w:rPr>
        <w:t>，</w:t>
      </w:r>
      <w:r>
        <w:rPr>
          <w:sz w:val="24"/>
        </w:rPr>
        <w:t>王洪、陈健主编、机械工业出版社</w:t>
      </w:r>
      <w:r>
        <w:rPr>
          <w:sz w:val="24"/>
        </w:rPr>
        <w:t xml:space="preserve">. 2016 </w:t>
      </w: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3E0B79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</w:p>
    <w:p w:rsidR="003E0B79" w:rsidRDefault="001B396E">
      <w:pPr>
        <w:pStyle w:val="HTML"/>
        <w:spacing w:line="276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202</w:t>
      </w:r>
      <w:r>
        <w:rPr>
          <w:rFonts w:ascii="黑体" w:eastAsia="黑体" w:hint="eastAsia"/>
          <w:sz w:val="36"/>
        </w:rPr>
        <w:t>3</w:t>
      </w:r>
      <w:r>
        <w:rPr>
          <w:rFonts w:ascii="黑体" w:eastAsia="黑体" w:hint="eastAsia"/>
          <w:sz w:val="36"/>
        </w:rPr>
        <w:t>硕士研究生复试专业课程考试大纲</w:t>
      </w:r>
    </w:p>
    <w:p w:rsidR="003E0B79" w:rsidRDefault="001B396E">
      <w:pPr>
        <w:pStyle w:val="HTML"/>
        <w:spacing w:line="276" w:lineRule="auto"/>
        <w:jc w:val="center"/>
        <w:rPr>
          <w:rFonts w:ascii="黑体" w:eastAsia="黑体" w:hAnsi="黑体" w:cs="Times New Roman"/>
          <w:bCs/>
          <w:sz w:val="28"/>
        </w:rPr>
      </w:pPr>
      <w:r>
        <w:rPr>
          <w:rFonts w:ascii="黑体" w:eastAsia="黑体" w:hAnsi="黑体" w:cs="Times New Roman" w:hint="eastAsia"/>
          <w:bCs/>
          <w:sz w:val="28"/>
        </w:rPr>
        <w:t>（</w:t>
      </w:r>
      <w:r>
        <w:rPr>
          <w:rFonts w:ascii="黑体" w:eastAsia="黑体" w:hAnsi="黑体" w:cs="Times New Roman"/>
          <w:bCs/>
          <w:sz w:val="28"/>
        </w:rPr>
        <w:t>土木工程建造与管理</w:t>
      </w:r>
      <w:r>
        <w:rPr>
          <w:rFonts w:ascii="黑体" w:eastAsia="黑体" w:hAnsi="黑体" w:cs="Times New Roman" w:hint="eastAsia"/>
          <w:bCs/>
          <w:sz w:val="28"/>
        </w:rPr>
        <w:t>方向）</w:t>
      </w:r>
    </w:p>
    <w:p w:rsidR="003E0B79" w:rsidRDefault="001B396E">
      <w:pPr>
        <w:pStyle w:val="HTML"/>
        <w:spacing w:line="276" w:lineRule="auto"/>
        <w:rPr>
          <w:rFonts w:ascii="黑体" w:eastAsia="黑体" w:hAnsi="黑体" w:cs="Times New Roman"/>
          <w:b/>
          <w:sz w:val="28"/>
        </w:rPr>
      </w:pPr>
      <w:r>
        <w:rPr>
          <w:rFonts w:ascii="黑体" w:eastAsia="黑体" w:hAnsi="黑体" w:cs="Times New Roman" w:hint="eastAsia"/>
          <w:b/>
          <w:sz w:val="28"/>
        </w:rPr>
        <w:t>科目代码：</w:t>
      </w:r>
      <w:r>
        <w:rPr>
          <w:rFonts w:ascii="黑体" w:eastAsia="黑体" w:hAnsi="黑体" w:cs="Times New Roman" w:hint="eastAsia"/>
          <w:b/>
          <w:sz w:val="28"/>
        </w:rPr>
        <w:t>0091</w:t>
      </w:r>
      <w:r>
        <w:rPr>
          <w:rFonts w:ascii="黑体" w:eastAsia="黑体" w:hAnsi="黑体" w:cs="Times New Roman" w:hint="eastAsia"/>
          <w:b/>
          <w:sz w:val="28"/>
        </w:rPr>
        <w:t>0</w:t>
      </w:r>
    </w:p>
    <w:p w:rsidR="003E0B79" w:rsidRDefault="001B396E">
      <w:pPr>
        <w:pStyle w:val="HTML"/>
        <w:spacing w:line="276" w:lineRule="auto"/>
        <w:rPr>
          <w:rFonts w:ascii="黑体" w:eastAsia="黑体" w:hAnsi="黑体" w:cs="Times New Roman"/>
          <w:b/>
          <w:sz w:val="28"/>
        </w:rPr>
      </w:pPr>
      <w:r>
        <w:rPr>
          <w:rFonts w:ascii="黑体" w:eastAsia="黑体" w:hAnsi="黑体" w:cs="Times New Roman" w:hint="eastAsia"/>
          <w:b/>
          <w:sz w:val="28"/>
        </w:rPr>
        <w:t>科目名称：</w:t>
      </w:r>
      <w:r>
        <w:rPr>
          <w:rFonts w:ascii="黑体" w:eastAsia="黑体" w:hAnsi="黑体" w:cs="Times New Roman"/>
          <w:b/>
          <w:sz w:val="28"/>
        </w:rPr>
        <w:t>工程经济学</w:t>
      </w:r>
      <w:r>
        <w:rPr>
          <w:rFonts w:ascii="黑体" w:eastAsia="黑体" w:hAnsi="黑体" w:cs="Times New Roman" w:hint="eastAsia"/>
          <w:b/>
          <w:sz w:val="28"/>
        </w:rPr>
        <w:t>（</w:t>
      </w:r>
      <w:r>
        <w:rPr>
          <w:rFonts w:ascii="黑体" w:eastAsia="黑体" w:hAnsi="黑体" w:cs="Times New Roman" w:hint="eastAsia"/>
          <w:b/>
          <w:sz w:val="28"/>
        </w:rPr>
        <w:t>100</w:t>
      </w:r>
      <w:r>
        <w:rPr>
          <w:rFonts w:ascii="黑体" w:eastAsia="黑体" w:hAnsi="黑体" w:cs="Times New Roman" w:hint="eastAsia"/>
          <w:b/>
          <w:sz w:val="28"/>
        </w:rPr>
        <w:t>分）</w:t>
      </w:r>
    </w:p>
    <w:p w:rsidR="003E0B79" w:rsidRDefault="001B396E"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</w:t>
      </w:r>
      <w:r>
        <w:rPr>
          <w:b/>
          <w:bCs/>
          <w:sz w:val="24"/>
        </w:rPr>
        <w:t>、考试</w:t>
      </w:r>
      <w:r>
        <w:rPr>
          <w:rFonts w:hint="eastAsia"/>
          <w:b/>
          <w:bCs/>
          <w:sz w:val="24"/>
        </w:rPr>
        <w:t>大纲</w:t>
      </w:r>
      <w:r>
        <w:rPr>
          <w:b/>
          <w:bCs/>
          <w:sz w:val="24"/>
        </w:rPr>
        <w:t>：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9188E">
        <w:rPr>
          <w:rFonts w:ascii="Times New Roman" w:hAnsi="Times New Roman" w:cs="Times New Roman"/>
        </w:rPr>
        <w:t>工程经济学的概念、工程技术与经济的关系、工程经济</w:t>
      </w:r>
      <w:r w:rsidR="0019188E">
        <w:rPr>
          <w:rFonts w:ascii="Times New Roman" w:hAnsi="Times New Roman" w:cs="Times New Roman" w:hint="eastAsia"/>
        </w:rPr>
        <w:t>学</w:t>
      </w:r>
      <w:r>
        <w:rPr>
          <w:rFonts w:ascii="Times New Roman" w:hAnsi="Times New Roman" w:cs="Times New Roman"/>
        </w:rPr>
        <w:t>的</w:t>
      </w:r>
      <w:r w:rsidR="0019188E">
        <w:rPr>
          <w:rFonts w:ascii="Times New Roman" w:hAnsi="Times New Roman" w:cs="Times New Roman" w:hint="eastAsia"/>
        </w:rPr>
        <w:t>研究方法、研究程序和工程经济分析的基本</w:t>
      </w:r>
      <w:r>
        <w:rPr>
          <w:rFonts w:ascii="Times New Roman" w:hAnsi="Times New Roman" w:cs="Times New Roman"/>
        </w:rPr>
        <w:t>原则；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资金的时间价值</w:t>
      </w:r>
      <w:r w:rsidR="00006CE4">
        <w:rPr>
          <w:rFonts w:ascii="Times New Roman" w:hAnsi="Times New Roman" w:cs="Times New Roman" w:hint="eastAsia"/>
        </w:rPr>
        <w:t>概述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现金流量</w:t>
      </w:r>
      <w:r w:rsidR="00006CE4"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/>
        </w:rPr>
        <w:t>资金等值</w:t>
      </w:r>
      <w:r w:rsidR="00006CE4">
        <w:rPr>
          <w:rFonts w:ascii="Times New Roman" w:hAnsi="Times New Roman" w:cs="Times New Roman"/>
        </w:rPr>
        <w:t>、</w:t>
      </w:r>
      <w:r w:rsidR="00006CE4">
        <w:rPr>
          <w:rFonts w:ascii="Times New Roman" w:hAnsi="Times New Roman" w:cs="Times New Roman" w:hint="eastAsia"/>
        </w:rPr>
        <w:t>利息与利率、资金时间价值的</w:t>
      </w:r>
      <w:r w:rsidR="00006CE4">
        <w:rPr>
          <w:rFonts w:ascii="Times New Roman" w:hAnsi="Times New Roman" w:cs="Times New Roman"/>
        </w:rPr>
        <w:t>计算</w:t>
      </w:r>
      <w:r>
        <w:rPr>
          <w:rFonts w:ascii="Times New Roman" w:hAnsi="Times New Roman" w:cs="Times New Roman"/>
        </w:rPr>
        <w:t>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工程项目</w:t>
      </w:r>
      <w:r>
        <w:rPr>
          <w:rFonts w:ascii="Times New Roman" w:hAnsi="Times New Roman" w:cs="Times New Roman"/>
        </w:rPr>
        <w:t>投资</w:t>
      </w:r>
      <w:r w:rsidR="00006CE4">
        <w:rPr>
          <w:rFonts w:ascii="Times New Roman" w:hAnsi="Times New Roman" w:cs="Times New Roman" w:hint="eastAsia"/>
        </w:rPr>
        <w:t>估算概述</w:t>
      </w:r>
      <w:r>
        <w:rPr>
          <w:rFonts w:ascii="Times New Roman" w:hAnsi="Times New Roman" w:cs="Times New Roman"/>
        </w:rPr>
        <w:t>、</w:t>
      </w:r>
      <w:r w:rsidR="00006CE4">
        <w:rPr>
          <w:rFonts w:ascii="Times New Roman" w:hAnsi="Times New Roman" w:cs="Times New Roman" w:hint="eastAsia"/>
        </w:rPr>
        <w:t>工程项目投入总资金的构成、工程费用的估算、工程建设其他费用的</w:t>
      </w:r>
      <w:r>
        <w:rPr>
          <w:rFonts w:ascii="Times New Roman" w:hAnsi="Times New Roman" w:cs="Times New Roman"/>
        </w:rPr>
        <w:t>估算</w:t>
      </w:r>
      <w:r>
        <w:rPr>
          <w:rFonts w:ascii="Times New Roman" w:hAnsi="Times New Roman" w:cs="Times New Roman"/>
        </w:rPr>
        <w:t>、</w:t>
      </w:r>
      <w:r w:rsidR="00006CE4">
        <w:rPr>
          <w:rFonts w:ascii="Times New Roman" w:hAnsi="Times New Roman" w:cs="Times New Roman" w:hint="eastAsia"/>
        </w:rPr>
        <w:t>预备费的估算、增值税的估算、资金筹措费的估算</w:t>
      </w:r>
      <w:r>
        <w:rPr>
          <w:rFonts w:ascii="Times New Roman" w:hAnsi="Times New Roman" w:cs="Times New Roman"/>
        </w:rPr>
        <w:t>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 w:hint="eastAsia"/>
        </w:rPr>
        <w:t>工程项目财务评价概述、财务评价指标体系、财务评价基本报表</w:t>
      </w:r>
      <w:r>
        <w:rPr>
          <w:rFonts w:ascii="Times New Roman" w:hAnsi="Times New Roman" w:cs="Times New Roman"/>
        </w:rPr>
        <w:t>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国民经济评价的概念及其参数和指标；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盈亏平衡分析、敏感性分析、风险</w:t>
      </w:r>
      <w:r>
        <w:rPr>
          <w:rFonts w:ascii="Times New Roman" w:hAnsi="Times New Roman" w:cs="Times New Roman" w:hint="eastAsia"/>
        </w:rPr>
        <w:t>分析</w:t>
      </w:r>
      <w:r>
        <w:rPr>
          <w:rFonts w:ascii="Times New Roman" w:hAnsi="Times New Roman" w:cs="Times New Roman"/>
        </w:rPr>
        <w:t>；</w:t>
      </w:r>
    </w:p>
    <w:p w:rsidR="001B396E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投资方案之间的关系、互斥型、独立型、相关</w:t>
      </w:r>
      <w:proofErr w:type="gramStart"/>
      <w:r>
        <w:rPr>
          <w:rFonts w:ascii="Times New Roman" w:hAnsi="Times New Roman" w:cs="Times New Roman" w:hint="eastAsia"/>
        </w:rPr>
        <w:t>型方案</w:t>
      </w:r>
      <w:proofErr w:type="gramEnd"/>
      <w:r>
        <w:rPr>
          <w:rFonts w:ascii="Times New Roman" w:hAnsi="Times New Roman" w:cs="Times New Roman" w:hint="eastAsia"/>
        </w:rPr>
        <w:t>的比选方法；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可行性研究</w:t>
      </w:r>
      <w:r>
        <w:rPr>
          <w:rFonts w:ascii="Times New Roman" w:hAnsi="Times New Roman" w:cs="Times New Roman" w:hint="eastAsia"/>
        </w:rPr>
        <w:t>概述、市场分析与预测方法、</w:t>
      </w:r>
      <w:r>
        <w:rPr>
          <w:rFonts w:ascii="Times New Roman" w:hAnsi="Times New Roman" w:cs="Times New Roman"/>
        </w:rPr>
        <w:t>可行性研究报告的</w:t>
      </w:r>
      <w:r>
        <w:rPr>
          <w:rFonts w:ascii="Times New Roman" w:hAnsi="Times New Roman" w:cs="Times New Roman"/>
        </w:rPr>
        <w:t>内容；</w:t>
      </w:r>
    </w:p>
    <w:p w:rsidR="003E0B79" w:rsidRDefault="001B396E">
      <w:pPr>
        <w:pStyle w:val="HTML"/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价值工程</w:t>
      </w:r>
      <w:r>
        <w:rPr>
          <w:rFonts w:ascii="Times New Roman" w:hAnsi="Times New Roman" w:cs="Times New Roman" w:hint="eastAsia"/>
        </w:rPr>
        <w:t>概述</w:t>
      </w:r>
      <w:r>
        <w:rPr>
          <w:rFonts w:ascii="Times New Roman" w:hAnsi="Times New Roman" w:cs="Times New Roman"/>
        </w:rPr>
        <w:t>、价值工程工作程序</w:t>
      </w:r>
      <w:r>
        <w:rPr>
          <w:rFonts w:ascii="Times New Roman" w:hAnsi="Times New Roman" w:cs="Times New Roman" w:hint="eastAsia"/>
        </w:rPr>
        <w:t>与工作内容及其应用</w:t>
      </w:r>
      <w:bookmarkStart w:id="0" w:name="_GoBack"/>
      <w:bookmarkEnd w:id="0"/>
      <w:r>
        <w:rPr>
          <w:rFonts w:ascii="Times New Roman" w:hAnsi="Times New Roman" w:cs="Times New Roman"/>
        </w:rPr>
        <w:t>。</w:t>
      </w:r>
    </w:p>
    <w:p w:rsidR="003E0B79" w:rsidRDefault="003E0B79">
      <w:pPr>
        <w:spacing w:line="276" w:lineRule="auto"/>
        <w:rPr>
          <w:b/>
          <w:bCs/>
          <w:sz w:val="24"/>
        </w:rPr>
      </w:pPr>
    </w:p>
    <w:p w:rsidR="003E0B79" w:rsidRDefault="001B396E"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>
        <w:rPr>
          <w:b/>
          <w:bCs/>
          <w:sz w:val="24"/>
        </w:rPr>
        <w:t>、参考书目</w:t>
      </w:r>
    </w:p>
    <w:p w:rsidR="003E0B79" w:rsidRDefault="001B396E">
      <w:pPr>
        <w:spacing w:line="276" w:lineRule="auto"/>
        <w:ind w:firstLineChars="200" w:firstLine="48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《工程经济学》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杨晓冬主编</w:t>
      </w:r>
      <w:r>
        <w:rPr>
          <w:rFonts w:hint="eastAsia"/>
          <w:sz w:val="24"/>
        </w:rPr>
        <w:t>，</w:t>
      </w:r>
      <w:r w:rsidR="00CA6FCB">
        <w:rPr>
          <w:rFonts w:hint="eastAsia"/>
          <w:sz w:val="24"/>
        </w:rPr>
        <w:t>机械工业</w:t>
      </w:r>
      <w:r>
        <w:rPr>
          <w:sz w:val="24"/>
        </w:rPr>
        <w:t>出版社</w:t>
      </w:r>
      <w:r>
        <w:rPr>
          <w:sz w:val="24"/>
        </w:rPr>
        <w:t>. 20</w:t>
      </w:r>
      <w:r w:rsidR="007E28DB">
        <w:rPr>
          <w:sz w:val="24"/>
        </w:rPr>
        <w:t>22</w:t>
      </w:r>
    </w:p>
    <w:p w:rsidR="003E0B79" w:rsidRDefault="003E0B79">
      <w:pPr>
        <w:spacing w:line="276" w:lineRule="auto"/>
        <w:rPr>
          <w:sz w:val="24"/>
        </w:rPr>
      </w:pPr>
    </w:p>
    <w:sectPr w:rsidR="003E0B79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CC"/>
    <w:rsid w:val="00000D4B"/>
    <w:rsid w:val="000053A9"/>
    <w:rsid w:val="00006CE4"/>
    <w:rsid w:val="00013CCC"/>
    <w:rsid w:val="0005144E"/>
    <w:rsid w:val="000548F7"/>
    <w:rsid w:val="00092F36"/>
    <w:rsid w:val="000A65C7"/>
    <w:rsid w:val="00100215"/>
    <w:rsid w:val="00100A84"/>
    <w:rsid w:val="0011736E"/>
    <w:rsid w:val="00124DA1"/>
    <w:rsid w:val="00157004"/>
    <w:rsid w:val="00180BD0"/>
    <w:rsid w:val="0019188E"/>
    <w:rsid w:val="001B396E"/>
    <w:rsid w:val="001E228A"/>
    <w:rsid w:val="001F5BF2"/>
    <w:rsid w:val="002C50FA"/>
    <w:rsid w:val="002D67DB"/>
    <w:rsid w:val="00323CE6"/>
    <w:rsid w:val="003B6AF1"/>
    <w:rsid w:val="003E0B79"/>
    <w:rsid w:val="003F5C64"/>
    <w:rsid w:val="00401515"/>
    <w:rsid w:val="004534FD"/>
    <w:rsid w:val="004E5986"/>
    <w:rsid w:val="00507D27"/>
    <w:rsid w:val="00516968"/>
    <w:rsid w:val="005242C6"/>
    <w:rsid w:val="005B15B5"/>
    <w:rsid w:val="005C50EC"/>
    <w:rsid w:val="005F44D2"/>
    <w:rsid w:val="00601B31"/>
    <w:rsid w:val="0060701D"/>
    <w:rsid w:val="0068448E"/>
    <w:rsid w:val="006A3731"/>
    <w:rsid w:val="0071686A"/>
    <w:rsid w:val="00730D43"/>
    <w:rsid w:val="007361C6"/>
    <w:rsid w:val="0073717D"/>
    <w:rsid w:val="007500DF"/>
    <w:rsid w:val="00762E8F"/>
    <w:rsid w:val="007832EF"/>
    <w:rsid w:val="007858EF"/>
    <w:rsid w:val="007A3A03"/>
    <w:rsid w:val="007C0286"/>
    <w:rsid w:val="007E28DB"/>
    <w:rsid w:val="008248E4"/>
    <w:rsid w:val="008F1FEA"/>
    <w:rsid w:val="009163D4"/>
    <w:rsid w:val="009225C8"/>
    <w:rsid w:val="0093761A"/>
    <w:rsid w:val="0094146F"/>
    <w:rsid w:val="00942ABF"/>
    <w:rsid w:val="009965E2"/>
    <w:rsid w:val="009C2520"/>
    <w:rsid w:val="009D0D5E"/>
    <w:rsid w:val="009E0751"/>
    <w:rsid w:val="009F08E3"/>
    <w:rsid w:val="009F115D"/>
    <w:rsid w:val="00A131CD"/>
    <w:rsid w:val="00A14AF2"/>
    <w:rsid w:val="00A279F8"/>
    <w:rsid w:val="00B25897"/>
    <w:rsid w:val="00B328D3"/>
    <w:rsid w:val="00B33903"/>
    <w:rsid w:val="00B37677"/>
    <w:rsid w:val="00BF6AEC"/>
    <w:rsid w:val="00C12ABA"/>
    <w:rsid w:val="00C7032F"/>
    <w:rsid w:val="00C73318"/>
    <w:rsid w:val="00CA6FCB"/>
    <w:rsid w:val="00CB0B4F"/>
    <w:rsid w:val="00D04047"/>
    <w:rsid w:val="00D114A1"/>
    <w:rsid w:val="00D16AB0"/>
    <w:rsid w:val="00D222A8"/>
    <w:rsid w:val="00D50206"/>
    <w:rsid w:val="00D60994"/>
    <w:rsid w:val="00D6565A"/>
    <w:rsid w:val="00D80189"/>
    <w:rsid w:val="00D979D8"/>
    <w:rsid w:val="00E13491"/>
    <w:rsid w:val="00E67A69"/>
    <w:rsid w:val="00E97670"/>
    <w:rsid w:val="00EB541A"/>
    <w:rsid w:val="00F16E55"/>
    <w:rsid w:val="00F95B03"/>
    <w:rsid w:val="00FA7B3F"/>
    <w:rsid w:val="00FB2F15"/>
    <w:rsid w:val="00FD7285"/>
    <w:rsid w:val="00FF6D19"/>
    <w:rsid w:val="0EE26498"/>
    <w:rsid w:val="199B704B"/>
    <w:rsid w:val="1DB066A3"/>
    <w:rsid w:val="25D8159F"/>
    <w:rsid w:val="2C4C1AC5"/>
    <w:rsid w:val="639071EA"/>
    <w:rsid w:val="666D3882"/>
    <w:rsid w:val="6B4131B1"/>
    <w:rsid w:val="6DA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3BC068-69FB-4446-AAAC-91CC6210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Char">
    <w:name w:val="HTML 预设格式 Char"/>
    <w:link w:val="HTML"/>
    <w:qFormat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qFormat/>
  </w:style>
  <w:style w:type="character" w:customStyle="1" w:styleId="CharChar">
    <w:name w:val="Char Char"/>
    <w:qFormat/>
    <w:locked/>
    <w:rPr>
      <w:rFonts w:ascii="宋体" w:eastAsia="宋体" w:hAnsi="宋体" w:cs="宋体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135</Words>
  <Characters>770</Characters>
  <Application>Microsoft Office Word</Application>
  <DocSecurity>0</DocSecurity>
  <Lines>6</Lines>
  <Paragraphs>1</Paragraphs>
  <ScaleCrop>false</ScaleCrop>
  <Company>hitgs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管理学科2010年硕士研究生“专业课复试科目”</dc:title>
  <dc:creator>hit</dc:creator>
  <cp:lastModifiedBy>YXD</cp:lastModifiedBy>
  <cp:revision>6</cp:revision>
  <cp:lastPrinted>2010-09-17T07:54:00Z</cp:lastPrinted>
  <dcterms:created xsi:type="dcterms:W3CDTF">2022-01-06T14:27:00Z</dcterms:created>
  <dcterms:modified xsi:type="dcterms:W3CDTF">2022-09-26T07:46:00Z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3B7758D834DA40DF89081AC8AAA4265E</vt:lpwstr>
  </property>
</Properties>
</file>